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A60C" w14:textId="77777777" w:rsidR="00813C0F" w:rsidRPr="00813C0F" w:rsidRDefault="00813C0F" w:rsidP="00813C0F">
      <w:pPr>
        <w:pStyle w:val="Kop2"/>
        <w:numPr>
          <w:ilvl w:val="0"/>
          <w:numId w:val="0"/>
        </w:numPr>
        <w:jc w:val="center"/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SUBSIDIECONVENANT</w:t>
      </w:r>
    </w:p>
    <w:p w14:paraId="711FFBFD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Tussen:</w:t>
      </w:r>
    </w:p>
    <w:p w14:paraId="73130CBF" w14:textId="77777777" w:rsidR="00813C0F" w:rsidRPr="00813C0F" w:rsidRDefault="00813C0F" w:rsidP="00813C0F">
      <w:pPr>
        <w:pStyle w:val="Normaalweb"/>
        <w:numPr>
          <w:ilvl w:val="0"/>
          <w:numId w:val="5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[Naam Subsidieverstrekker]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t>, statutair gevestigd te [adres], ingeschreven bij de Kamer van Koophandel onder nummer [KVK-nummer], rechtsgeldig vertegenwoordigd door [naam, functie], hierna te noemen: “Subsidieverstrekker”;</w:t>
      </w:r>
    </w:p>
    <w:p w14:paraId="3CDCF48C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en</w:t>
      </w:r>
    </w:p>
    <w:p w14:paraId="039E6DC3" w14:textId="77777777" w:rsidR="00813C0F" w:rsidRPr="00813C0F" w:rsidRDefault="00813C0F" w:rsidP="00813C0F">
      <w:pPr>
        <w:pStyle w:val="Normaalweb"/>
        <w:numPr>
          <w:ilvl w:val="0"/>
          <w:numId w:val="6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[Naam Subsidieontvanger]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t>, statutair gevestigd te [adres], ingeschreven bij de Kamer van Koophandel onder nummer [KVK-nummer], rechtsgeldig vertegenwoordigd door [naam, functie], hierna te noemen: “Subsidieontvanger”;</w:t>
      </w:r>
    </w:p>
    <w:p w14:paraId="54C21461" w14:textId="052CC93C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Gezamenlijk te noemen: “Partijen”; afzonderlijk: “Partij”.</w:t>
      </w:r>
    </w:p>
    <w:p w14:paraId="3494B191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1. Doel en achtergrond van het convenant</w:t>
      </w:r>
    </w:p>
    <w:p w14:paraId="476CE9D5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1.1. Partijen sluiten dit convenant met het doel om heldere, rechtsgeldige afspraken vast te leggen inzake de toekenning, besteding, verantwoording en evaluatie van een subsidie voor de uitvoering van het project “[Projectnaam]”, hierna te noemen: “het Project”.</w:t>
      </w:r>
    </w:p>
    <w:p w14:paraId="38536845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1.2. Het Project beoogt [doelstelling van het project, bijvoorbeeld: het ontwikkelen van circulaire technologieën / het verbeteren van regionale arbeidsmarktstructuren / het versterken van publiek-private samenwerking].</w:t>
      </w:r>
    </w:p>
    <w:p w14:paraId="72D3FB60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1.3. De subsidie wordt toegekend in het kader van de regeling “[Naam subsidieregeling]”, gepubliceerd op [datum publicatie], en gebaseerd op het door de Subsidieontvanger op [datum] ingediende projectplan inclusief begroting.</w:t>
      </w:r>
    </w:p>
    <w:p w14:paraId="7131E97F" w14:textId="4F959DB6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1.4. Dit convenant vormt een nadere uitwerking van het subsidiebesluit d.d. [datum], kenmerk [nummer], en vervangt niet de daarin gestelde wettelijke kaders en verplichtingen.</w:t>
      </w:r>
    </w:p>
    <w:p w14:paraId="22D78EB2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2. Duur en werking</w:t>
      </w:r>
    </w:p>
    <w:p w14:paraId="428A092C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2.1. Dit convenant treedt in werking op [datum] en heeft een looptijd tot en met [datum], behoudens eerdere beëindiging conform artikel 12.</w:t>
      </w:r>
    </w:p>
    <w:p w14:paraId="3198735E" w14:textId="6A646D9A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2.2. Verlenging van de looptijd is slechts mogelijk na schriftelijke instemming van beide Partijen en wordt opgenomen in een addendum.</w:t>
      </w:r>
    </w:p>
    <w:p w14:paraId="408EBDCE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3. Omvang en uitbetaling van de subsidie</w:t>
      </w:r>
    </w:p>
    <w:p w14:paraId="3F146DD0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 xml:space="preserve">3.1. De Subsidieverstrekker kent aan de Subsidieontvanger een subsidie toe van maximaal </w:t>
      </w: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€ [bedrag]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t>, zoals vermeld in het subsidiebesluit. Dit bedrag is bedoeld voor de financiering van de subsidiabele activiteiten zoals opgenomen in de bijlagen.</w:t>
      </w:r>
    </w:p>
    <w:p w14:paraId="0DC5A692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3.2. De betaling geschiedt in de volgende termijnen:</w:t>
      </w:r>
    </w:p>
    <w:p w14:paraId="7293F8FE" w14:textId="77777777" w:rsidR="00813C0F" w:rsidRPr="00813C0F" w:rsidRDefault="00813C0F" w:rsidP="00813C0F">
      <w:pPr>
        <w:pStyle w:val="Normaalweb"/>
        <w:numPr>
          <w:ilvl w:val="0"/>
          <w:numId w:val="7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Voorschot 1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t>: 40% bij aanvang project na ondertekening convenant;</w:t>
      </w:r>
    </w:p>
    <w:p w14:paraId="31C40CD4" w14:textId="77777777" w:rsidR="00813C0F" w:rsidRPr="00813C0F" w:rsidRDefault="00813C0F" w:rsidP="00813C0F">
      <w:pPr>
        <w:pStyle w:val="Normaalweb"/>
        <w:numPr>
          <w:ilvl w:val="0"/>
          <w:numId w:val="7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Voorschot 2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t>: 30% na goedgekeurde voortgangsrapportage halverwege het project;</w:t>
      </w:r>
    </w:p>
    <w:p w14:paraId="492CF1B7" w14:textId="77777777" w:rsidR="00813C0F" w:rsidRPr="00813C0F" w:rsidRDefault="00813C0F" w:rsidP="00813C0F">
      <w:pPr>
        <w:pStyle w:val="Normaalweb"/>
        <w:numPr>
          <w:ilvl w:val="0"/>
          <w:numId w:val="7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lastRenderedPageBreak/>
        <w:t>Eindbetaling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t>: maximaal 30% na goedkeuring van de eindrapportage en financiële eindverantwoording.</w:t>
      </w:r>
    </w:p>
    <w:p w14:paraId="622FBB29" w14:textId="637E628C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3.3. De Subsidieverstrekker is gerechtigd betaling op te schorten bij gebleken niet-naleving van verplichtingen uit dit convenant.</w:t>
      </w:r>
    </w:p>
    <w:p w14:paraId="5C2C0123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4. Verplichtingen van de Subsidieontvanger</w:t>
      </w:r>
    </w:p>
    <w:p w14:paraId="1F34957A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4.1. De Subsidieontvanger verplicht zich tot volledige, tijdige en juiste uitvoering van het project conform het projectplan, binnen de daarin gestelde termijnen en conform de subsidievoorwaarden.</w:t>
      </w:r>
    </w:p>
    <w:p w14:paraId="3F57232A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4.2. De Subsidieontvanger voert een projectadministratie die voldoet aan de eisen van de subsidieregeling en inzicht biedt in de besteding van de subsidie.</w:t>
      </w:r>
    </w:p>
    <w:p w14:paraId="0CECE4CB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4.3. De Subsidieontvanger bewaart alle relevante documenten, boekhoudkundige bescheiden en correspondentie tot minimaal vijf jaar na projectafsluiting, tenzij de subsidieregeling een langere termijn voorschrijft.</w:t>
      </w:r>
    </w:p>
    <w:p w14:paraId="05DACCD3" w14:textId="4317FE3B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4.4. Elke wezenlijke wijziging in de aard, omvang, financiering of organisatie van het Project wordt direct schriftelijk gemeld aan de Subsidieverstrekker, vergezeld van een verzoek tot goedkeuring van de wijziging.</w:t>
      </w:r>
    </w:p>
    <w:p w14:paraId="35F067AF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 xml:space="preserve">Artikel 5. </w:t>
      </w:r>
      <w:proofErr w:type="spellStart"/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Governance</w:t>
      </w:r>
      <w:proofErr w:type="spellEnd"/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 xml:space="preserve"> en projectstructuur</w:t>
      </w:r>
    </w:p>
    <w:p w14:paraId="62C684C8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5.1. De Subsidieontvanger stelt een projectteam aan, waarvan een projectleider en financieel verantwoordelijke expliciet worden benoemd. Namen en contactgegevens worden gedeeld met de Subsidieverstrekker.</w:t>
      </w:r>
    </w:p>
    <w:p w14:paraId="74E0CF2F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5.2. Indien van toepassing wordt een stuurgroep of klankbordgroep ingesteld waarin relevante stakeholders deelnemen. De Subsidieverstrekker heeft het recht hierin een waarnemer aan te wijzen.</w:t>
      </w:r>
    </w:p>
    <w:p w14:paraId="188524E9" w14:textId="0E81824A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5.3. Risicobeheersing, projectplanning en kwaliteitsborging maken onderdeel uit van de periodieke rapportages.</w:t>
      </w:r>
    </w:p>
    <w:p w14:paraId="46E5ABAD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6. Samenwerking met derden</w:t>
      </w:r>
    </w:p>
    <w:p w14:paraId="73F7EC0E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6.1. Indien het Project (mede) wordt uitgevoerd met andere partijen, wordt hiervoor een aparte samenwerkingsovereenkomst opgesteld, waarin onder andere verantwoordelijkheden, kostentoerekening en kennisdeling zijn geregeld.</w:t>
      </w:r>
    </w:p>
    <w:p w14:paraId="53BBFCD7" w14:textId="62E74BA6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6.2. De Subsidieontvanger blijft eindverantwoordelijk voor de rechtmatige besteding van de subsidie, ook indien taken zijn uitbesteed.</w:t>
      </w:r>
    </w:p>
    <w:p w14:paraId="6DDFB924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7. Rapportage, controle en evaluatie</w:t>
      </w:r>
    </w:p>
    <w:p w14:paraId="3ACE8FA4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7.1. De Subsidieontvanger dient periodiek inhoudelijke en financiële voortgangsrapportages in, op uiterlijk:</w:t>
      </w:r>
    </w:p>
    <w:p w14:paraId="21696045" w14:textId="77777777" w:rsidR="00813C0F" w:rsidRPr="00813C0F" w:rsidRDefault="00813C0F" w:rsidP="00813C0F">
      <w:pPr>
        <w:pStyle w:val="Normaalweb"/>
        <w:numPr>
          <w:ilvl w:val="0"/>
          <w:numId w:val="8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[datum voortgangsrapportage 1];</w:t>
      </w:r>
    </w:p>
    <w:p w14:paraId="629EFACD" w14:textId="77777777" w:rsidR="00813C0F" w:rsidRPr="00813C0F" w:rsidRDefault="00813C0F" w:rsidP="00813C0F">
      <w:pPr>
        <w:pStyle w:val="Normaalweb"/>
        <w:numPr>
          <w:ilvl w:val="0"/>
          <w:numId w:val="8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[datum voortgangsrapportage 2] (optioneel);</w:t>
      </w:r>
    </w:p>
    <w:p w14:paraId="08086C1C" w14:textId="77777777" w:rsidR="00813C0F" w:rsidRPr="00813C0F" w:rsidRDefault="00813C0F" w:rsidP="00813C0F">
      <w:pPr>
        <w:pStyle w:val="Normaalweb"/>
        <w:numPr>
          <w:ilvl w:val="0"/>
          <w:numId w:val="8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[datum eindrapportage].</w:t>
      </w:r>
    </w:p>
    <w:p w14:paraId="46281549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lastRenderedPageBreak/>
        <w:t>7.2. De eindrapportage bevat ten minste:</w:t>
      </w:r>
    </w:p>
    <w:p w14:paraId="0AC56452" w14:textId="77777777" w:rsidR="00813C0F" w:rsidRPr="00813C0F" w:rsidRDefault="00813C0F" w:rsidP="00813C0F">
      <w:pPr>
        <w:pStyle w:val="Normaalweb"/>
        <w:numPr>
          <w:ilvl w:val="0"/>
          <w:numId w:val="9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een inhoudelijk verslag van de resultaten ten opzichte van het projectplan;</w:t>
      </w:r>
    </w:p>
    <w:p w14:paraId="51A64640" w14:textId="77777777" w:rsidR="00813C0F" w:rsidRPr="00813C0F" w:rsidRDefault="00813C0F" w:rsidP="00813C0F">
      <w:pPr>
        <w:pStyle w:val="Normaalweb"/>
        <w:numPr>
          <w:ilvl w:val="0"/>
          <w:numId w:val="9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een financiële verantwoording conform de begrotingsposten;</w:t>
      </w:r>
    </w:p>
    <w:p w14:paraId="72E1E262" w14:textId="77777777" w:rsidR="00813C0F" w:rsidRPr="00813C0F" w:rsidRDefault="00813C0F" w:rsidP="00813C0F">
      <w:pPr>
        <w:pStyle w:val="Normaalweb"/>
        <w:numPr>
          <w:ilvl w:val="0"/>
          <w:numId w:val="9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een controleverklaring van een onafhankelijk accountant op basis van COS 4400N (of alternatieve norm indien van toepassing).</w:t>
      </w:r>
    </w:p>
    <w:p w14:paraId="2423E420" w14:textId="1C003635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7.3. De Subsidieverstrekker behoudt zich het recht voor aanvullende documentatie op te vragen of een audit te laten uitvoeren, op kosten van de Subsidieverstrekker tenzij sprake is van tekortkomingen.</w:t>
      </w:r>
    </w:p>
    <w:p w14:paraId="0FF357F9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8. Publiciteit en communicatie</w:t>
      </w:r>
    </w:p>
    <w:p w14:paraId="0582B5B7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8.1. Partijen spreken af dat de bijdrage van de Subsidieverstrekker adequaat wordt vermeld in publicaties, presentaties, websites en persuitingen, conform de subsidieregeling.</w:t>
      </w:r>
    </w:p>
    <w:p w14:paraId="4BA8884A" w14:textId="728CB4A2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8.2. Publicaties en resultaten die voortkomen uit het project worden, indien relevant, publiek toegankelijk gemaakt tenzij vertrouwelijkheid of intellectuele eigendomsrechten dit verhinderen.</w:t>
      </w:r>
    </w:p>
    <w:p w14:paraId="1B814BEA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9. Intellectuele eigendom en kennisdeling</w:t>
      </w:r>
    </w:p>
    <w:p w14:paraId="4A4A0FFF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9.1. Intellectuele eigendomsrechten die voortvloeien uit het project komen toe aan de partij die ze ontwikkelt, tenzij anders schriftelijk overeengekomen.</w:t>
      </w:r>
    </w:p>
    <w:p w14:paraId="43F6E8F9" w14:textId="1D13CEC0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9.2. De Subsidieontvanger stelt resultaten van het project beschikbaar voor evaluatie, monitoring en beleidsvorming, mits dit niet in strijd is met vertrouwelijkheid of IE-rechten.</w:t>
      </w:r>
    </w:p>
    <w:p w14:paraId="72547EE2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10. Niet-nakoming en terugvordering</w:t>
      </w:r>
    </w:p>
    <w:p w14:paraId="2E94898E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10.1. Indien de Subsidieontvanger zich niet houdt aan de bepalingen uit dit convenant of de subsidieregeling, kan de Subsidieverstrekker:</w:t>
      </w:r>
    </w:p>
    <w:p w14:paraId="136DE42E" w14:textId="77777777" w:rsidR="00813C0F" w:rsidRPr="00813C0F" w:rsidRDefault="00813C0F" w:rsidP="00813C0F">
      <w:pPr>
        <w:pStyle w:val="Normaalweb"/>
        <w:numPr>
          <w:ilvl w:val="0"/>
          <w:numId w:val="10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de subsidie (gedeeltelijk) terugvorderen;</w:t>
      </w:r>
    </w:p>
    <w:p w14:paraId="79D77925" w14:textId="77777777" w:rsidR="00813C0F" w:rsidRPr="00813C0F" w:rsidRDefault="00813C0F" w:rsidP="00813C0F">
      <w:pPr>
        <w:pStyle w:val="Normaalweb"/>
        <w:numPr>
          <w:ilvl w:val="0"/>
          <w:numId w:val="10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toekomstige betalingen opschorten of beëindigen;</w:t>
      </w:r>
    </w:p>
    <w:p w14:paraId="5A4F88BC" w14:textId="77777777" w:rsidR="00813C0F" w:rsidRPr="00813C0F" w:rsidRDefault="00813C0F" w:rsidP="00813C0F">
      <w:pPr>
        <w:pStyle w:val="Normaalweb"/>
        <w:numPr>
          <w:ilvl w:val="0"/>
          <w:numId w:val="10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de subsidie intrekken.</w:t>
      </w:r>
    </w:p>
    <w:p w14:paraId="2A0CEB7D" w14:textId="4832050F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10.2. Voor terugvordering gelden de regels uit het subsidiebesluit, met inbegrip van rente- of boeteclausules indien van toepassing.</w:t>
      </w:r>
    </w:p>
    <w:p w14:paraId="4CB2E69D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11. Overmacht</w:t>
      </w:r>
    </w:p>
    <w:p w14:paraId="0645E477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11.1. Indien een Partij door overmacht tijdelijk niet aan haar verplichtingen kan voldoen, meldt zij dit binnen 5 werkdagen schriftelijk met een toelichting en een voorstel voor alternatieve uitvoering of verlenging.</w:t>
      </w:r>
    </w:p>
    <w:p w14:paraId="1CFCFBF3" w14:textId="060181E5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11.2. In geval van structurele overmacht of blijvende verhindering behouden Partijen zich het recht voor om het convenant met wederzijds goedvinden te beëindigen.</w:t>
      </w:r>
    </w:p>
    <w:p w14:paraId="305A59CB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12. Wijziging en beëindiging</w:t>
      </w:r>
    </w:p>
    <w:p w14:paraId="15338349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12.1. Wijzigingen van dit convenant worden schriftelijk vastgelegd in een addendum, ondertekend door beide Partijen.</w:t>
      </w:r>
    </w:p>
    <w:p w14:paraId="74404662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lastRenderedPageBreak/>
        <w:t>12.2. Elke Partij kan dit convenant eenzijdig beëindigen met een opzegtermijn van drie maanden, onder vermelding van zwaarwegende gronden.</w:t>
      </w:r>
    </w:p>
    <w:p w14:paraId="00E10179" w14:textId="070A9CA2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12.3. Bij beëindiging om niet-verwijtbare redenen worden afspraken gemaakt over de afwikkeling van lopende verplichtingen en (terug)betaling van niet-bestede middelen.</w:t>
      </w:r>
    </w:p>
    <w:p w14:paraId="53023966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13. Toepasselijk recht en geschillen</w:t>
      </w:r>
    </w:p>
    <w:p w14:paraId="1760F1F9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13.1. Op dit convenant is uitsluitend Nederlands recht van toepassing.</w:t>
      </w:r>
    </w:p>
    <w:p w14:paraId="268CDED7" w14:textId="37EACD3D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13.2. Geschillen voortvloeiende uit dit convenant worden in eerste instantie in der minne geschikt. Indien dat niet mogelijk is, worden deze voorgelegd aan de bevoegde rechter in het arrondissement [plaats].</w:t>
      </w:r>
    </w:p>
    <w:p w14:paraId="054DAAE9" w14:textId="77777777" w:rsidR="00813C0F" w:rsidRPr="00813C0F" w:rsidRDefault="00813C0F" w:rsidP="00813C0F">
      <w:pPr>
        <w:pStyle w:val="Kop2"/>
        <w:numPr>
          <w:ilvl w:val="0"/>
          <w:numId w:val="0"/>
        </w:numPr>
        <w:rPr>
          <w:color w:val="404040" w:themeColor="text1" w:themeTint="BF"/>
          <w:sz w:val="22"/>
          <w:szCs w:val="22"/>
        </w:rPr>
      </w:pPr>
      <w:r w:rsidRPr="00813C0F">
        <w:rPr>
          <w:rStyle w:val="Zwaar"/>
          <w:b/>
          <w:bCs/>
          <w:color w:val="404040" w:themeColor="text1" w:themeTint="BF"/>
          <w:sz w:val="22"/>
          <w:szCs w:val="22"/>
        </w:rPr>
        <w:t>Artikel 14. Slotbepalingen</w:t>
      </w:r>
    </w:p>
    <w:p w14:paraId="0FA26718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14.1. Dit convenant bevat alle afspraken tussen Partijen met betrekking tot het project en vervangt eerdere mondelinge en schriftelijke afspraken.</w:t>
      </w:r>
    </w:p>
    <w:p w14:paraId="6459AAE8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14.2. Bijlagen maken integraal onderdeel uit van dit convenant:</w:t>
      </w:r>
    </w:p>
    <w:p w14:paraId="5EFE600B" w14:textId="77777777" w:rsidR="00813C0F" w:rsidRPr="00813C0F" w:rsidRDefault="00813C0F" w:rsidP="00813C0F">
      <w:pPr>
        <w:pStyle w:val="Normaalweb"/>
        <w:numPr>
          <w:ilvl w:val="0"/>
          <w:numId w:val="11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Bijlage 1: Projectplan</w:t>
      </w:r>
    </w:p>
    <w:p w14:paraId="5FB77710" w14:textId="77777777" w:rsidR="00813C0F" w:rsidRPr="00813C0F" w:rsidRDefault="00813C0F" w:rsidP="00813C0F">
      <w:pPr>
        <w:pStyle w:val="Normaalweb"/>
        <w:numPr>
          <w:ilvl w:val="0"/>
          <w:numId w:val="11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Bijlage 2: Begroting</w:t>
      </w:r>
    </w:p>
    <w:p w14:paraId="1C5F7E53" w14:textId="77777777" w:rsidR="00813C0F" w:rsidRPr="00813C0F" w:rsidRDefault="00813C0F" w:rsidP="00813C0F">
      <w:pPr>
        <w:pStyle w:val="Normaalweb"/>
        <w:numPr>
          <w:ilvl w:val="0"/>
          <w:numId w:val="11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Bijlage 3: Subsidiebesluit</w:t>
      </w:r>
    </w:p>
    <w:p w14:paraId="167E0401" w14:textId="77777777" w:rsidR="00813C0F" w:rsidRPr="00813C0F" w:rsidRDefault="00813C0F" w:rsidP="00813C0F">
      <w:pPr>
        <w:pStyle w:val="Normaalweb"/>
        <w:numPr>
          <w:ilvl w:val="0"/>
          <w:numId w:val="11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Bijlage 4: Rapportageformats</w:t>
      </w:r>
    </w:p>
    <w:p w14:paraId="091D72CD" w14:textId="3FD9F0F1" w:rsidR="00813C0F" w:rsidRPr="00813C0F" w:rsidRDefault="00813C0F" w:rsidP="00813C0F">
      <w:pPr>
        <w:pStyle w:val="Normaalweb"/>
        <w:numPr>
          <w:ilvl w:val="0"/>
          <w:numId w:val="11"/>
        </w:numPr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Fonts w:ascii="Garamond" w:hAnsi="Garamond"/>
          <w:color w:val="404040" w:themeColor="text1" w:themeTint="BF"/>
          <w:sz w:val="22"/>
          <w:szCs w:val="22"/>
        </w:rPr>
        <w:t>Bijlage 5: Richtlijnen voor communicatie</w:t>
      </w:r>
    </w:p>
    <w:p w14:paraId="49C9DB31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Aldus overeengekomen en in tweevoud ondertekend:</w:t>
      </w:r>
    </w:p>
    <w:p w14:paraId="5FEAD3E5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[Plaats], [Datum]</w:t>
      </w:r>
    </w:p>
    <w:p w14:paraId="4ECFE403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[Naam Subsidieverstrekker]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br/>
        <w:t>Handtekening: _________________________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br/>
        <w:t>Naam: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br/>
        <w:t>Functie:</w:t>
      </w:r>
    </w:p>
    <w:p w14:paraId="186B2F8B" w14:textId="77777777" w:rsidR="00813C0F" w:rsidRPr="00813C0F" w:rsidRDefault="00813C0F" w:rsidP="00813C0F">
      <w:pPr>
        <w:pStyle w:val="Normaalweb"/>
        <w:rPr>
          <w:rFonts w:ascii="Garamond" w:hAnsi="Garamond"/>
          <w:color w:val="404040" w:themeColor="text1" w:themeTint="BF"/>
          <w:sz w:val="22"/>
          <w:szCs w:val="22"/>
        </w:rPr>
      </w:pPr>
      <w:r w:rsidRPr="00813C0F">
        <w:rPr>
          <w:rStyle w:val="Zwaar"/>
          <w:rFonts w:ascii="Garamond" w:hAnsi="Garamond"/>
          <w:color w:val="404040" w:themeColor="text1" w:themeTint="BF"/>
          <w:sz w:val="22"/>
          <w:szCs w:val="22"/>
        </w:rPr>
        <w:t>[Naam Subsidieontvanger]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br/>
        <w:t>Handtekening: _________________________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br/>
        <w:t>Naam:</w:t>
      </w:r>
      <w:r w:rsidRPr="00813C0F">
        <w:rPr>
          <w:rFonts w:ascii="Garamond" w:hAnsi="Garamond"/>
          <w:color w:val="404040" w:themeColor="text1" w:themeTint="BF"/>
          <w:sz w:val="22"/>
          <w:szCs w:val="22"/>
        </w:rPr>
        <w:br/>
        <w:t>Functie:</w:t>
      </w:r>
    </w:p>
    <w:p w14:paraId="5518BB2E" w14:textId="5663C648" w:rsidR="008668D7" w:rsidRPr="00813C0F" w:rsidRDefault="008668D7" w:rsidP="00813C0F">
      <w:pPr>
        <w:rPr>
          <w:rFonts w:ascii="Garamond" w:hAnsi="Garamond"/>
          <w:color w:val="404040" w:themeColor="text1" w:themeTint="BF"/>
        </w:rPr>
      </w:pPr>
    </w:p>
    <w:sectPr w:rsidR="008668D7" w:rsidRPr="00813C0F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948F" w14:textId="77777777" w:rsidR="00CA1E10" w:rsidRDefault="00CA1E10" w:rsidP="00632EA6">
      <w:pPr>
        <w:spacing w:after="0" w:line="240" w:lineRule="auto"/>
      </w:pPr>
      <w:r>
        <w:separator/>
      </w:r>
    </w:p>
  </w:endnote>
  <w:endnote w:type="continuationSeparator" w:id="0">
    <w:p w14:paraId="3EB94DFB" w14:textId="77777777" w:rsidR="00CA1E10" w:rsidRDefault="00CA1E10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7244" w14:textId="15BE634A" w:rsidR="00000000" w:rsidRPr="00FE332A" w:rsidRDefault="00FE332A" w:rsidP="00FE332A">
    <w:pPr>
      <w:pStyle w:val="Voettekst"/>
      <w:jc w:val="center"/>
    </w:pPr>
    <w:hyperlink r:id="rId1" w:history="1">
      <w:r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FB1B" w14:textId="77777777" w:rsidR="00CA1E10" w:rsidRDefault="00CA1E10" w:rsidP="00632EA6">
      <w:pPr>
        <w:spacing w:after="0" w:line="240" w:lineRule="auto"/>
      </w:pPr>
      <w:r>
        <w:separator/>
      </w:r>
    </w:p>
  </w:footnote>
  <w:footnote w:type="continuationSeparator" w:id="0">
    <w:p w14:paraId="5D2C61DB" w14:textId="77777777" w:rsidR="00CA1E10" w:rsidRDefault="00CA1E10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CC12AD"/>
    <w:multiLevelType w:val="multilevel"/>
    <w:tmpl w:val="5F606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526B5"/>
    <w:multiLevelType w:val="multilevel"/>
    <w:tmpl w:val="7586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1765E"/>
    <w:multiLevelType w:val="multilevel"/>
    <w:tmpl w:val="8952A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24836"/>
    <w:multiLevelType w:val="multilevel"/>
    <w:tmpl w:val="E31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A394E"/>
    <w:multiLevelType w:val="multilevel"/>
    <w:tmpl w:val="6636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2207A"/>
    <w:multiLevelType w:val="multilevel"/>
    <w:tmpl w:val="527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4E76"/>
    <w:multiLevelType w:val="multilevel"/>
    <w:tmpl w:val="9A6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80AA0"/>
    <w:multiLevelType w:val="multilevel"/>
    <w:tmpl w:val="9276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D49B3"/>
    <w:multiLevelType w:val="multilevel"/>
    <w:tmpl w:val="59F4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137914">
    <w:abstractNumId w:val="10"/>
  </w:num>
  <w:num w:numId="2" w16cid:durableId="652107413">
    <w:abstractNumId w:val="0"/>
  </w:num>
  <w:num w:numId="3" w16cid:durableId="1323658223">
    <w:abstractNumId w:val="5"/>
  </w:num>
  <w:num w:numId="4" w16cid:durableId="204947373">
    <w:abstractNumId w:val="3"/>
  </w:num>
  <w:num w:numId="5" w16cid:durableId="1384134742">
    <w:abstractNumId w:val="8"/>
  </w:num>
  <w:num w:numId="6" w16cid:durableId="851605732">
    <w:abstractNumId w:val="1"/>
  </w:num>
  <w:num w:numId="7" w16cid:durableId="1123574700">
    <w:abstractNumId w:val="6"/>
  </w:num>
  <w:num w:numId="8" w16cid:durableId="869103877">
    <w:abstractNumId w:val="2"/>
  </w:num>
  <w:num w:numId="9" w16cid:durableId="1290554134">
    <w:abstractNumId w:val="4"/>
  </w:num>
  <w:num w:numId="10" w16cid:durableId="1649017336">
    <w:abstractNumId w:val="9"/>
  </w:num>
  <w:num w:numId="11" w16cid:durableId="1434011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45DC7"/>
    <w:rsid w:val="000467E8"/>
    <w:rsid w:val="00082342"/>
    <w:rsid w:val="00086E76"/>
    <w:rsid w:val="00305349"/>
    <w:rsid w:val="003143F7"/>
    <w:rsid w:val="00327351"/>
    <w:rsid w:val="00367DC4"/>
    <w:rsid w:val="003B3C73"/>
    <w:rsid w:val="003F6686"/>
    <w:rsid w:val="00463A74"/>
    <w:rsid w:val="00495E37"/>
    <w:rsid w:val="00510D83"/>
    <w:rsid w:val="005E27FB"/>
    <w:rsid w:val="00632EA6"/>
    <w:rsid w:val="006A6B8F"/>
    <w:rsid w:val="007A1B3A"/>
    <w:rsid w:val="007D296E"/>
    <w:rsid w:val="00813C0F"/>
    <w:rsid w:val="008365A6"/>
    <w:rsid w:val="008668D7"/>
    <w:rsid w:val="008D25FC"/>
    <w:rsid w:val="009428AC"/>
    <w:rsid w:val="0099337F"/>
    <w:rsid w:val="009F3D22"/>
    <w:rsid w:val="00CA1E10"/>
    <w:rsid w:val="00CC393E"/>
    <w:rsid w:val="00DA4FFE"/>
    <w:rsid w:val="00DB1015"/>
    <w:rsid w:val="00E41427"/>
    <w:rsid w:val="00EA1B69"/>
    <w:rsid w:val="00F04E98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3C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3C0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alweb">
    <w:name w:val="Normal (Web)"/>
    <w:basedOn w:val="Standaard"/>
    <w:uiPriority w:val="99"/>
    <w:unhideWhenUsed/>
    <w:rsid w:val="0081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13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S. Schetters - Boec</cp:lastModifiedBy>
  <cp:revision>3</cp:revision>
  <dcterms:created xsi:type="dcterms:W3CDTF">2025-05-22T18:59:00Z</dcterms:created>
  <dcterms:modified xsi:type="dcterms:W3CDTF">2025-05-22T19:06:00Z</dcterms:modified>
</cp:coreProperties>
</file>