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487B4E01" w14:textId="5F7BE349" w:rsidR="00F377F5" w:rsidRPr="00886A6D" w:rsidRDefault="00F377F5" w:rsidP="00886A6D">
      <w:pPr>
        <w:pStyle w:val="Kop1"/>
        <w:spacing w:line="360" w:lineRule="auto"/>
        <w:jc w:val="center"/>
        <w:rPr>
          <w:rFonts w:ascii="Garamond" w:hAnsi="Garamond"/>
          <w:szCs w:val="20"/>
          <w:lang w:val="en-US"/>
        </w:rPr>
      </w:pPr>
      <w:r w:rsidRPr="00383CFE">
        <w:rPr>
          <w:rFonts w:ascii="Garamond" w:hAnsi="Garamond"/>
          <w:szCs w:val="20"/>
          <w:lang w:val="en-US"/>
        </w:rPr>
        <w:t>Voorbeeld</w:t>
      </w:r>
      <w:r w:rsidR="00A45417" w:rsidRPr="00383CFE">
        <w:rPr>
          <w:rFonts w:ascii="Garamond" w:hAnsi="Garamond"/>
          <w:szCs w:val="20"/>
          <w:lang w:val="en-US"/>
        </w:rPr>
        <w:t xml:space="preserve"> </w:t>
      </w:r>
      <w:r w:rsidR="005B5FA9" w:rsidRPr="00383CFE">
        <w:rPr>
          <w:rFonts w:ascii="Garamond" w:hAnsi="Garamond"/>
          <w:szCs w:val="20"/>
          <w:lang w:val="en-US"/>
        </w:rPr>
        <w:t xml:space="preserve">convenant </w:t>
      </w:r>
      <w:r w:rsidR="00437751" w:rsidRPr="00383CFE">
        <w:rPr>
          <w:rFonts w:ascii="Garamond" w:hAnsi="Garamond"/>
          <w:szCs w:val="20"/>
          <w:lang w:val="en-US"/>
        </w:rPr>
        <w:t xml:space="preserve">debt </w:t>
      </w:r>
      <w:r w:rsidR="00383CFE" w:rsidRPr="00383CFE">
        <w:rPr>
          <w:rFonts w:ascii="Garamond" w:hAnsi="Garamond"/>
          <w:szCs w:val="20"/>
          <w:lang w:val="en-US"/>
        </w:rPr>
        <w:t xml:space="preserve">service capacity </w:t>
      </w:r>
      <w:r w:rsidR="00383CFE">
        <w:rPr>
          <w:rFonts w:ascii="Garamond" w:hAnsi="Garamond"/>
          <w:szCs w:val="20"/>
          <w:lang w:val="en-US"/>
        </w:rPr>
        <w:t>ratio</w:t>
      </w:r>
    </w:p>
    <w:p w14:paraId="428660BE" w14:textId="77777777" w:rsidR="00886A6D" w:rsidRDefault="005B5FA9" w:rsidP="00886A6D">
      <w:pPr>
        <w:pStyle w:val="Kop2"/>
        <w:numPr>
          <w:ilvl w:val="0"/>
          <w:numId w:val="0"/>
        </w:numPr>
        <w:spacing w:line="336" w:lineRule="auto"/>
      </w:pPr>
      <w:r>
        <w:rPr>
          <w:rFonts w:cs="Arial"/>
          <w:color w:val="000000"/>
          <w:sz w:val="20"/>
          <w:szCs w:val="20"/>
        </w:rPr>
        <w:t xml:space="preserve">Artikel </w:t>
      </w:r>
      <w:r w:rsidRPr="005B5FA9">
        <w:rPr>
          <w:rFonts w:cs="Arial"/>
          <w:i/>
          <w:iCs/>
          <w:color w:val="000000"/>
          <w:sz w:val="20"/>
          <w:szCs w:val="20"/>
          <w:highlight w:val="yellow"/>
        </w:rPr>
        <w:t>…</w:t>
      </w:r>
      <w:r w:rsidR="00886A6D" w:rsidRPr="00886A6D">
        <w:t xml:space="preserve"> </w:t>
      </w:r>
    </w:p>
    <w:p w14:paraId="68E326E6" w14:textId="035A83FE" w:rsidR="00886A6D" w:rsidRDefault="00886A6D" w:rsidP="00886A6D">
      <w:pPr>
        <w:pStyle w:val="Kop2"/>
        <w:spacing w:line="336" w:lineRule="auto"/>
      </w:pPr>
      <w:r w:rsidRPr="00383CFE">
        <w:t xml:space="preserve">De totale </w:t>
      </w:r>
      <w:proofErr w:type="spellStart"/>
      <w:r w:rsidRPr="00383CFE">
        <w:t>Debt</w:t>
      </w:r>
      <w:proofErr w:type="spellEnd"/>
      <w:r w:rsidRPr="00383CFE">
        <w:t xml:space="preserve"> Service </w:t>
      </w:r>
      <w:proofErr w:type="spellStart"/>
      <w:r w:rsidRPr="00383CFE">
        <w:t>Capacity</w:t>
      </w:r>
      <w:proofErr w:type="spellEnd"/>
      <w:r w:rsidRPr="00383CFE">
        <w:t xml:space="preserve"> ratio moet altijd minimaal</w:t>
      </w:r>
      <w:r>
        <w:t xml:space="preserve"> </w:t>
      </w:r>
      <w:r>
        <w:rPr>
          <w:i/>
          <w:iCs/>
          <w:color w:val="FF0000"/>
          <w:highlight w:val="yellow"/>
        </w:rPr>
        <w:t>ratio</w:t>
      </w:r>
      <w:r>
        <w:rPr>
          <w:i/>
          <w:iCs/>
          <w:color w:val="FF0000"/>
        </w:rPr>
        <w:t xml:space="preserve"> </w:t>
      </w:r>
      <w:r w:rsidRPr="00383CFE">
        <w:rPr>
          <w:color w:val="000000" w:themeColor="text1"/>
        </w:rPr>
        <w:t>zijn.</w:t>
      </w:r>
    </w:p>
    <w:p w14:paraId="6D584155" w14:textId="407BB7F0" w:rsidR="00886A6D" w:rsidRDefault="00886A6D" w:rsidP="00886A6D">
      <w:pPr>
        <w:pStyle w:val="Kop2"/>
        <w:spacing w:line="336" w:lineRule="auto"/>
      </w:pPr>
      <w:r w:rsidRPr="00886A6D">
        <w:t xml:space="preserve">De </w:t>
      </w:r>
      <w:proofErr w:type="spellStart"/>
      <w:r w:rsidRPr="00886A6D">
        <w:t>Debt</w:t>
      </w:r>
      <w:proofErr w:type="spellEnd"/>
      <w:r w:rsidRPr="00886A6D">
        <w:t xml:space="preserve"> service </w:t>
      </w:r>
      <w:proofErr w:type="spellStart"/>
      <w:r w:rsidRPr="00886A6D">
        <w:t>capacity</w:t>
      </w:r>
      <w:proofErr w:type="spellEnd"/>
      <w:r w:rsidRPr="00886A6D">
        <w:t xml:space="preserve"> ratio wordt berekend door de </w:t>
      </w:r>
      <w:r>
        <w:t>L</w:t>
      </w:r>
      <w:r w:rsidRPr="00886A6D">
        <w:t xml:space="preserve">iquiditeitsstroom te delen door de </w:t>
      </w:r>
      <w:r>
        <w:t>F</w:t>
      </w:r>
      <w:r w:rsidRPr="00886A6D">
        <w:t>inancieringslast.</w:t>
      </w:r>
    </w:p>
    <w:p w14:paraId="6DCF5CC7" w14:textId="77777777" w:rsidR="00886A6D" w:rsidRPr="00437751" w:rsidRDefault="00886A6D" w:rsidP="00886A6D">
      <w:pPr>
        <w:pStyle w:val="Kop2"/>
        <w:spacing w:line="336" w:lineRule="auto"/>
      </w:pPr>
      <w:r>
        <w:t>De liquiditeitsstroom wordt als volgt berekend:</w:t>
      </w:r>
    </w:p>
    <w:p w14:paraId="472724B8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Nettoresultaat </w:t>
      </w:r>
    </w:p>
    <w:p w14:paraId="43B88C5F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Afschrijvingen (+) </w:t>
      </w:r>
    </w:p>
    <w:p w14:paraId="19EDF713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Resultaat deelnemingen (-) </w:t>
      </w:r>
    </w:p>
    <w:p w14:paraId="592C5038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Bedrijfsvoorziening (+) </w:t>
      </w:r>
    </w:p>
    <w:p w14:paraId="140E56A7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Niet constante belastingen (+) </w:t>
      </w:r>
    </w:p>
    <w:p w14:paraId="051F0423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proofErr w:type="spellStart"/>
      <w:r w:rsidRPr="00383CFE">
        <w:t>Desinvesteringensboekwaarde</w:t>
      </w:r>
      <w:proofErr w:type="spellEnd"/>
      <w:r w:rsidRPr="00383CFE">
        <w:t xml:space="preserve"> (+) </w:t>
      </w:r>
    </w:p>
    <w:p w14:paraId="11EE606D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>Boekwinsten desinvesteringen (-</w:t>
      </w:r>
      <w:proofErr w:type="gramStart"/>
      <w:r w:rsidRPr="00383CFE">
        <w:t>) /</w:t>
      </w:r>
      <w:proofErr w:type="gramEnd"/>
      <w:r w:rsidRPr="00383CFE">
        <w:t xml:space="preserve"> Boekverliezen desinvesteringen (+) </w:t>
      </w:r>
    </w:p>
    <w:p w14:paraId="00F5E16F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Bijzondere </w:t>
      </w:r>
      <w:proofErr w:type="gramStart"/>
      <w:r w:rsidRPr="00383CFE">
        <w:t>baten  (</w:t>
      </w:r>
      <w:proofErr w:type="gramEnd"/>
      <w:r w:rsidRPr="00383CFE">
        <w:t xml:space="preserve">-) / Bijzondere lasten (+) </w:t>
      </w:r>
    </w:p>
    <w:p w14:paraId="73D61CC3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Aandeel derden (+) </w:t>
      </w:r>
    </w:p>
    <w:p w14:paraId="781A62F1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Bruto rentelasten (+) </w:t>
      </w:r>
    </w:p>
    <w:p w14:paraId="2752B7E8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Ontvangen rente (-) </w:t>
      </w:r>
    </w:p>
    <w:p w14:paraId="2B65F89A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Overige financiële baten/lasten (-) </w:t>
      </w:r>
    </w:p>
    <w:p w14:paraId="01FF0411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>Operationele jaarleasebedragen (+)</w:t>
      </w:r>
    </w:p>
    <w:p w14:paraId="2F4BA4AB" w14:textId="3C3E78DF" w:rsidR="00886A6D" w:rsidRPr="00437751" w:rsidRDefault="00886A6D" w:rsidP="00886A6D">
      <w:pPr>
        <w:pStyle w:val="Kop2"/>
        <w:spacing w:line="336" w:lineRule="auto"/>
      </w:pPr>
      <w:r>
        <w:t>De financieringslast</w:t>
      </w:r>
      <w:r>
        <w:t xml:space="preserve"> </w:t>
      </w:r>
      <w:r>
        <w:t>word</w:t>
      </w:r>
      <w:r>
        <w:t>t</w:t>
      </w:r>
      <w:r>
        <w:t xml:space="preserve"> als volgt berekend:</w:t>
      </w:r>
    </w:p>
    <w:p w14:paraId="03F8F936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Bruto rentelasten (+) </w:t>
      </w:r>
    </w:p>
    <w:p w14:paraId="017D42DF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Geactiveerde interest (+) </w:t>
      </w:r>
    </w:p>
    <w:p w14:paraId="3D7B059B" w14:textId="77777777" w:rsidR="00886A6D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 xml:space="preserve">Operationele jaarleasebedragen (+) </w:t>
      </w:r>
    </w:p>
    <w:p w14:paraId="2EA8228C" w14:textId="75B3EC68" w:rsidR="00886A6D" w:rsidRPr="00437751" w:rsidRDefault="00886A6D" w:rsidP="00886A6D">
      <w:pPr>
        <w:pStyle w:val="Kop2"/>
        <w:numPr>
          <w:ilvl w:val="0"/>
          <w:numId w:val="8"/>
        </w:numPr>
        <w:spacing w:line="336" w:lineRule="auto"/>
      </w:pPr>
      <w:r w:rsidRPr="00383CFE">
        <w:t>Aflossingsverplichting komend boekjaar (+)</w:t>
      </w:r>
    </w:p>
    <w:sectPr w:rsidR="00886A6D" w:rsidRPr="00437751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8662" w14:textId="77777777" w:rsidR="004E0527" w:rsidRDefault="004E0527" w:rsidP="00635265">
      <w:r>
        <w:separator/>
      </w:r>
    </w:p>
  </w:endnote>
  <w:endnote w:type="continuationSeparator" w:id="0">
    <w:p w14:paraId="647C9079" w14:textId="77777777" w:rsidR="004E0527" w:rsidRDefault="004E0527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0148" w14:textId="77777777" w:rsidR="004E0527" w:rsidRDefault="004E0527" w:rsidP="00635265">
      <w:r>
        <w:separator/>
      </w:r>
    </w:p>
  </w:footnote>
  <w:footnote w:type="continuationSeparator" w:id="0">
    <w:p w14:paraId="7F13954B" w14:textId="77777777" w:rsidR="004E0527" w:rsidRDefault="004E0527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8F82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49C1"/>
    <w:multiLevelType w:val="hybridMultilevel"/>
    <w:tmpl w:val="4992D39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36A1933"/>
    <w:multiLevelType w:val="hybridMultilevel"/>
    <w:tmpl w:val="E0C8F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1246753">
    <w:abstractNumId w:val="7"/>
  </w:num>
  <w:num w:numId="2" w16cid:durableId="1112088387">
    <w:abstractNumId w:val="0"/>
  </w:num>
  <w:num w:numId="3" w16cid:durableId="370233552">
    <w:abstractNumId w:val="1"/>
  </w:num>
  <w:num w:numId="4" w16cid:durableId="437792158">
    <w:abstractNumId w:val="4"/>
  </w:num>
  <w:num w:numId="5" w16cid:durableId="4478930">
    <w:abstractNumId w:val="6"/>
  </w:num>
  <w:num w:numId="6" w16cid:durableId="297536970">
    <w:abstractNumId w:val="5"/>
  </w:num>
  <w:num w:numId="7" w16cid:durableId="896088348">
    <w:abstractNumId w:val="3"/>
  </w:num>
  <w:num w:numId="8" w16cid:durableId="94427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84FD1"/>
    <w:rsid w:val="000A0F96"/>
    <w:rsid w:val="000A7423"/>
    <w:rsid w:val="000B3569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02930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83CFE"/>
    <w:rsid w:val="003D492B"/>
    <w:rsid w:val="003E186E"/>
    <w:rsid w:val="003F6963"/>
    <w:rsid w:val="00437751"/>
    <w:rsid w:val="004A4C91"/>
    <w:rsid w:val="004E0527"/>
    <w:rsid w:val="0050005C"/>
    <w:rsid w:val="00507C00"/>
    <w:rsid w:val="00513049"/>
    <w:rsid w:val="00525956"/>
    <w:rsid w:val="00550571"/>
    <w:rsid w:val="00551520"/>
    <w:rsid w:val="005520FA"/>
    <w:rsid w:val="0057668F"/>
    <w:rsid w:val="00577427"/>
    <w:rsid w:val="005906ED"/>
    <w:rsid w:val="00591C6A"/>
    <w:rsid w:val="005B5FA9"/>
    <w:rsid w:val="005B7C70"/>
    <w:rsid w:val="005D5E0E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F7A98"/>
    <w:rsid w:val="00813F9B"/>
    <w:rsid w:val="008238AD"/>
    <w:rsid w:val="00845405"/>
    <w:rsid w:val="008668D7"/>
    <w:rsid w:val="00867915"/>
    <w:rsid w:val="00883035"/>
    <w:rsid w:val="00883E19"/>
    <w:rsid w:val="00886A6D"/>
    <w:rsid w:val="008F018F"/>
    <w:rsid w:val="008F3F2E"/>
    <w:rsid w:val="009424BA"/>
    <w:rsid w:val="00964135"/>
    <w:rsid w:val="009E2BF1"/>
    <w:rsid w:val="00A13AD0"/>
    <w:rsid w:val="00A17F1D"/>
    <w:rsid w:val="00A45417"/>
    <w:rsid w:val="00A52071"/>
    <w:rsid w:val="00A97163"/>
    <w:rsid w:val="00AB1D35"/>
    <w:rsid w:val="00AD1F8C"/>
    <w:rsid w:val="00B1098E"/>
    <w:rsid w:val="00B246D3"/>
    <w:rsid w:val="00B93868"/>
    <w:rsid w:val="00BA27B4"/>
    <w:rsid w:val="00BD1095"/>
    <w:rsid w:val="00BE7B93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45F21"/>
    <w:rsid w:val="00D61728"/>
    <w:rsid w:val="00D75416"/>
    <w:rsid w:val="00DB55D7"/>
    <w:rsid w:val="00DC373E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37751"/>
    <w:pPr>
      <w:keepNext/>
      <w:keepLines/>
      <w:numPr>
        <w:ilvl w:val="1"/>
        <w:numId w:val="2"/>
      </w:numPr>
      <w:spacing w:before="200" w:line="360" w:lineRule="auto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37751"/>
    <w:rPr>
      <w:rFonts w:ascii="Garamond" w:eastAsiaTheme="majorEastAsia" w:hAnsi="Garamond" w:cstheme="majorBidi"/>
      <w:b/>
      <w:bCs/>
      <w:color w:val="262626" w:themeColor="text1" w:themeTint="D9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4</cp:revision>
  <dcterms:created xsi:type="dcterms:W3CDTF">2023-06-14T10:04:00Z</dcterms:created>
  <dcterms:modified xsi:type="dcterms:W3CDTF">2023-06-14T10:16:00Z</dcterms:modified>
</cp:coreProperties>
</file>